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9C" w:rsidRDefault="00C0559C" w:rsidP="00C0559C">
      <w:pPr>
        <w:pStyle w:val="NormalWeb"/>
      </w:pPr>
      <w:r>
        <w:rPr>
          <w:rStyle w:val="Strong"/>
        </w:rPr>
        <w:t>Associated Accessory Warranty Process</w:t>
      </w:r>
    </w:p>
    <w:p w:rsidR="00C0559C" w:rsidRDefault="00C0559C" w:rsidP="00C0559C">
      <w:pPr>
        <w:pStyle w:val="NormalWeb"/>
      </w:pPr>
      <w:r>
        <w:t xml:space="preserve">If warranty service to an Associated Accessory is required during the accessory's warranty period, the GM dealer should contact the Associated Accessories manufacturer to determine the correct repair solution.  Repair parts or complete accessory replacement will be provided at no cost when under the warranty terms of the accessory manufacturer, and therefore, must not be claimed to GM on a warranty transaction.  </w:t>
      </w:r>
    </w:p>
    <w:p w:rsidR="00C0559C" w:rsidRDefault="00C0559C" w:rsidP="00C0559C">
      <w:pPr>
        <w:pStyle w:val="NormalWeb"/>
      </w:pPr>
      <w:r>
        <w:t xml:space="preserve">GM dealership labor and an administrative allowance for processing Associated Accessory warranty repairs as directed by the accessory manufacture may be processed through the Global Warranty Management (GWM) as directed below.  These expenses are prohibited when: </w:t>
      </w:r>
    </w:p>
    <w:p w:rsidR="00C0559C" w:rsidRDefault="00C0559C" w:rsidP="00C0559C">
      <w:pPr>
        <w:numPr>
          <w:ilvl w:val="0"/>
          <w:numId w:val="1"/>
        </w:numPr>
        <w:spacing w:before="100" w:beforeAutospacing="1" w:after="100" w:afterAutospacing="1"/>
        <w:rPr>
          <w:rFonts w:eastAsia="Times New Roman"/>
        </w:rPr>
      </w:pPr>
      <w:r>
        <w:rPr>
          <w:rFonts w:eastAsia="Times New Roman"/>
        </w:rPr>
        <w:t xml:space="preserve">Failure was caused by negligence, abuse, alterations, accident, or use for which the part was not designed or approved by Associated Accessory Manufacturer. </w:t>
      </w:r>
    </w:p>
    <w:p w:rsidR="00C0559C" w:rsidRDefault="00C0559C" w:rsidP="00C0559C">
      <w:pPr>
        <w:numPr>
          <w:ilvl w:val="0"/>
          <w:numId w:val="1"/>
        </w:numPr>
        <w:spacing w:before="100" w:beforeAutospacing="1" w:after="100" w:afterAutospacing="1"/>
        <w:rPr>
          <w:rFonts w:eastAsia="Times New Roman"/>
        </w:rPr>
      </w:pPr>
      <w:r>
        <w:rPr>
          <w:rFonts w:eastAsia="Times New Roman"/>
        </w:rPr>
        <w:t xml:space="preserve">The Associated Accessory was not originally installed by a GM Dealer. </w:t>
      </w:r>
    </w:p>
    <w:p w:rsidR="00C0559C" w:rsidRDefault="00C0559C" w:rsidP="00C0559C">
      <w:pPr>
        <w:numPr>
          <w:ilvl w:val="0"/>
          <w:numId w:val="1"/>
        </w:numPr>
        <w:spacing w:before="100" w:beforeAutospacing="1" w:after="100" w:afterAutospacing="1"/>
        <w:rPr>
          <w:rFonts w:eastAsia="Times New Roman"/>
        </w:rPr>
      </w:pPr>
      <w:r>
        <w:rPr>
          <w:rFonts w:eastAsia="Times New Roman"/>
        </w:rPr>
        <w:t>The Associated Accessory was installed on a vehicle registered and normally operated outside the United States.</w:t>
      </w:r>
    </w:p>
    <w:p w:rsidR="00C0559C" w:rsidRDefault="00C0559C" w:rsidP="00C0559C">
      <w:pPr>
        <w:pStyle w:val="NormalWeb"/>
      </w:pPr>
      <w:r>
        <w:t xml:space="preserve">Loss of time, inconvenience, loss of use or other incidental or consequential damages, including courtesy transportation, is not covered.  </w:t>
      </w:r>
    </w:p>
    <w:p w:rsidR="00C0559C" w:rsidRDefault="00C0559C" w:rsidP="00C0559C">
      <w:pPr>
        <w:pStyle w:val="NormalWeb"/>
      </w:pPr>
      <w:r>
        <w:t> </w:t>
      </w:r>
    </w:p>
    <w:p w:rsidR="00C0559C" w:rsidRDefault="00C0559C" w:rsidP="00C0559C">
      <w:pPr>
        <w:pStyle w:val="NormalWeb"/>
      </w:pPr>
      <w:r>
        <w:rPr>
          <w:rStyle w:val="Strong"/>
        </w:rPr>
        <w:t>Submitting Labor in Global Warranty Management</w:t>
      </w:r>
    </w:p>
    <w:p w:rsidR="00C0559C" w:rsidRDefault="00C0559C" w:rsidP="00C0559C">
      <w:pPr>
        <w:pStyle w:val="NormalWeb"/>
      </w:pPr>
      <w:r>
        <w:t xml:space="preserve">When performing a warranty repair or replacement of an Associated Accessory as directed by the accessory manufacturer, labor may be submitted using the following procedure:  </w:t>
      </w:r>
    </w:p>
    <w:p w:rsidR="00C0559C" w:rsidRDefault="00C0559C" w:rsidP="00C0559C">
      <w:pPr>
        <w:pStyle w:val="NormalWeb"/>
      </w:pPr>
      <w:r>
        <w:t xml:space="preserve">1.      Document the complaint, cause and repair (correction) of the Associated Accessory on a repair order.  Include the Associated Accessories Manufacturer name and Associated Accessories service part name or GM part number, if instructed by the Associated Accessory manufacturer to replace the complete assembly.  </w:t>
      </w:r>
    </w:p>
    <w:p w:rsidR="00C0559C" w:rsidRDefault="00C0559C" w:rsidP="00C0559C">
      <w:pPr>
        <w:pStyle w:val="NormalWeb"/>
      </w:pPr>
      <w:r>
        <w:t xml:space="preserve">2.      Submit a </w:t>
      </w:r>
      <w:r>
        <w:rPr>
          <w:rStyle w:val="Strong"/>
        </w:rPr>
        <w:t>ZREG Transaction Type</w:t>
      </w:r>
      <w:r>
        <w:t xml:space="preserve"> in Global Warranty Management (GWM) for reimbursement of labor involved using the appropriate labor operation shown below.  </w:t>
      </w:r>
    </w:p>
    <w:p w:rsidR="00C0559C" w:rsidRDefault="00C0559C" w:rsidP="00C0559C">
      <w:pPr>
        <w:pStyle w:val="NormalWeb"/>
      </w:pPr>
      <w:r>
        <w:t> </w:t>
      </w:r>
    </w:p>
    <w:tbl>
      <w:tblPr>
        <w:tblW w:w="5000" w:type="pct"/>
        <w:tblCellSpacing w:w="0" w:type="dxa"/>
        <w:tblCellMar>
          <w:left w:w="0" w:type="dxa"/>
          <w:right w:w="0" w:type="dxa"/>
        </w:tblCellMar>
        <w:tblLook w:val="04A0" w:firstRow="1" w:lastRow="0" w:firstColumn="1" w:lastColumn="0" w:noHBand="0" w:noVBand="1"/>
      </w:tblPr>
      <w:tblGrid>
        <w:gridCol w:w="4320"/>
        <w:gridCol w:w="4320"/>
      </w:tblGrid>
      <w:tr w:rsidR="00C0559C" w:rsidTr="00C0559C">
        <w:trPr>
          <w:tblCellSpacing w:w="0" w:type="dxa"/>
        </w:trPr>
        <w:tc>
          <w:tcPr>
            <w:tcW w:w="2500" w:type="pct"/>
            <w:tcMar>
              <w:top w:w="15" w:type="dxa"/>
              <w:left w:w="15" w:type="dxa"/>
              <w:bottom w:w="15" w:type="dxa"/>
              <w:right w:w="15" w:type="dxa"/>
            </w:tcMar>
            <w:vAlign w:val="center"/>
            <w:hideMark/>
          </w:tcPr>
          <w:p w:rsidR="00C0559C" w:rsidRDefault="00C0559C">
            <w:r>
              <w:rPr>
                <w:rStyle w:val="Strong"/>
              </w:rPr>
              <w:t>If your actual labor time falls within this range:</w:t>
            </w:r>
          </w:p>
        </w:tc>
        <w:tc>
          <w:tcPr>
            <w:tcW w:w="2500" w:type="pct"/>
            <w:tcMar>
              <w:top w:w="15" w:type="dxa"/>
              <w:left w:w="15" w:type="dxa"/>
              <w:bottom w:w="15" w:type="dxa"/>
              <w:right w:w="15" w:type="dxa"/>
            </w:tcMar>
            <w:vAlign w:val="center"/>
            <w:hideMark/>
          </w:tcPr>
          <w:p w:rsidR="00C0559C" w:rsidRDefault="00C0559C">
            <w:r>
              <w:rPr>
                <w:rStyle w:val="Strong"/>
              </w:rPr>
              <w:t>Use this Labor Operation</w:t>
            </w:r>
          </w:p>
        </w:tc>
      </w:tr>
      <w:tr w:rsidR="00C0559C" w:rsidTr="00C0559C">
        <w:trPr>
          <w:tblCellSpacing w:w="0" w:type="dxa"/>
        </w:trPr>
        <w:tc>
          <w:tcPr>
            <w:tcW w:w="0" w:type="auto"/>
            <w:tcMar>
              <w:top w:w="15" w:type="dxa"/>
              <w:left w:w="15" w:type="dxa"/>
              <w:bottom w:w="15" w:type="dxa"/>
              <w:right w:w="15" w:type="dxa"/>
            </w:tcMar>
            <w:vAlign w:val="center"/>
            <w:hideMark/>
          </w:tcPr>
          <w:p w:rsidR="00C0559C" w:rsidRDefault="00C0559C">
            <w:r>
              <w:t xml:space="preserve">Up to .3 </w:t>
            </w:r>
            <w:proofErr w:type="spellStart"/>
            <w:r>
              <w:t>hr</w:t>
            </w:r>
            <w:proofErr w:type="spellEnd"/>
            <w:r>
              <w:t xml:space="preserve">   </w:t>
            </w:r>
          </w:p>
        </w:tc>
        <w:tc>
          <w:tcPr>
            <w:tcW w:w="0" w:type="auto"/>
            <w:tcMar>
              <w:top w:w="15" w:type="dxa"/>
              <w:left w:w="15" w:type="dxa"/>
              <w:bottom w:w="15" w:type="dxa"/>
              <w:right w:w="15" w:type="dxa"/>
            </w:tcMar>
            <w:vAlign w:val="center"/>
            <w:hideMark/>
          </w:tcPr>
          <w:p w:rsidR="00C0559C" w:rsidRDefault="00C0559C">
            <w:r>
              <w:t xml:space="preserve">Labor Op 0602608    </w:t>
            </w:r>
          </w:p>
        </w:tc>
      </w:tr>
      <w:tr w:rsidR="00C0559C" w:rsidTr="00C0559C">
        <w:trPr>
          <w:tblCellSpacing w:w="0" w:type="dxa"/>
        </w:trPr>
        <w:tc>
          <w:tcPr>
            <w:tcW w:w="0" w:type="auto"/>
            <w:tcMar>
              <w:top w:w="15" w:type="dxa"/>
              <w:left w:w="15" w:type="dxa"/>
              <w:bottom w:w="15" w:type="dxa"/>
              <w:right w:w="15" w:type="dxa"/>
            </w:tcMar>
            <w:vAlign w:val="center"/>
            <w:hideMark/>
          </w:tcPr>
          <w:p w:rsidR="00C0559C" w:rsidRDefault="00C0559C">
            <w:r>
              <w:t xml:space="preserve">.4 Up to .6 </w:t>
            </w:r>
            <w:proofErr w:type="spellStart"/>
            <w:r>
              <w:t>hr</w:t>
            </w:r>
            <w:proofErr w:type="spellEnd"/>
          </w:p>
        </w:tc>
        <w:tc>
          <w:tcPr>
            <w:tcW w:w="0" w:type="auto"/>
            <w:tcMar>
              <w:top w:w="15" w:type="dxa"/>
              <w:left w:w="15" w:type="dxa"/>
              <w:bottom w:w="15" w:type="dxa"/>
              <w:right w:w="15" w:type="dxa"/>
            </w:tcMar>
            <w:vAlign w:val="center"/>
            <w:hideMark/>
          </w:tcPr>
          <w:p w:rsidR="00C0559C" w:rsidRDefault="00C0559C">
            <w:r>
              <w:t xml:space="preserve">Labor Op 0602708    </w:t>
            </w:r>
          </w:p>
        </w:tc>
      </w:tr>
      <w:tr w:rsidR="00C0559C" w:rsidTr="00C0559C">
        <w:trPr>
          <w:tblCellSpacing w:w="0" w:type="dxa"/>
        </w:trPr>
        <w:tc>
          <w:tcPr>
            <w:tcW w:w="0" w:type="auto"/>
            <w:tcMar>
              <w:top w:w="15" w:type="dxa"/>
              <w:left w:w="15" w:type="dxa"/>
              <w:bottom w:w="15" w:type="dxa"/>
              <w:right w:w="15" w:type="dxa"/>
            </w:tcMar>
            <w:vAlign w:val="center"/>
            <w:hideMark/>
          </w:tcPr>
          <w:p w:rsidR="00C0559C" w:rsidRDefault="00C0559C">
            <w:r>
              <w:t xml:space="preserve">.7 Up to 1 </w:t>
            </w:r>
            <w:proofErr w:type="spellStart"/>
            <w:r>
              <w:t>hr</w:t>
            </w:r>
            <w:proofErr w:type="spellEnd"/>
          </w:p>
        </w:tc>
        <w:tc>
          <w:tcPr>
            <w:tcW w:w="0" w:type="auto"/>
            <w:tcMar>
              <w:top w:w="15" w:type="dxa"/>
              <w:left w:w="15" w:type="dxa"/>
              <w:bottom w:w="15" w:type="dxa"/>
              <w:right w:w="15" w:type="dxa"/>
            </w:tcMar>
            <w:vAlign w:val="center"/>
            <w:hideMark/>
          </w:tcPr>
          <w:p w:rsidR="00C0559C" w:rsidRDefault="00C0559C">
            <w:r>
              <w:t xml:space="preserve">Labor Op 0602808    </w:t>
            </w:r>
          </w:p>
        </w:tc>
      </w:tr>
      <w:tr w:rsidR="00C0559C" w:rsidTr="00C0559C">
        <w:trPr>
          <w:tblCellSpacing w:w="0" w:type="dxa"/>
        </w:trPr>
        <w:tc>
          <w:tcPr>
            <w:tcW w:w="0" w:type="auto"/>
            <w:tcMar>
              <w:top w:w="15" w:type="dxa"/>
              <w:left w:w="15" w:type="dxa"/>
              <w:bottom w:w="15" w:type="dxa"/>
              <w:right w:w="15" w:type="dxa"/>
            </w:tcMar>
            <w:vAlign w:val="center"/>
            <w:hideMark/>
          </w:tcPr>
          <w:p w:rsidR="00C0559C" w:rsidRDefault="00C0559C">
            <w:r>
              <w:t>1.1 Up to 1.5</w:t>
            </w:r>
          </w:p>
        </w:tc>
        <w:tc>
          <w:tcPr>
            <w:tcW w:w="0" w:type="auto"/>
            <w:tcMar>
              <w:top w:w="15" w:type="dxa"/>
              <w:left w:w="15" w:type="dxa"/>
              <w:bottom w:w="15" w:type="dxa"/>
              <w:right w:w="15" w:type="dxa"/>
            </w:tcMar>
            <w:vAlign w:val="center"/>
            <w:hideMark/>
          </w:tcPr>
          <w:p w:rsidR="00C0559C" w:rsidRDefault="00C0559C">
            <w:r>
              <w:t xml:space="preserve">Labor Op 0602908    </w:t>
            </w:r>
          </w:p>
        </w:tc>
      </w:tr>
    </w:tbl>
    <w:p w:rsidR="00C0559C" w:rsidRDefault="00C0559C" w:rsidP="00C0559C">
      <w:pPr>
        <w:pStyle w:val="NormalWeb"/>
      </w:pPr>
      <w:r>
        <w:lastRenderedPageBreak/>
        <w:t> </w:t>
      </w:r>
    </w:p>
    <w:p w:rsidR="00C0559C" w:rsidRDefault="00C0559C" w:rsidP="00C0559C">
      <w:pPr>
        <w:pStyle w:val="NormalWeb"/>
      </w:pPr>
      <w:r>
        <w:t xml:space="preserve">3.      Submit the actual amount of labor in the Base </w:t>
      </w:r>
      <w:proofErr w:type="spellStart"/>
      <w:r>
        <w:t>Labour</w:t>
      </w:r>
      <w:proofErr w:type="spellEnd"/>
      <w:r>
        <w:t xml:space="preserve"> field.  </w:t>
      </w:r>
    </w:p>
    <w:p w:rsidR="00C0559C" w:rsidRDefault="00C0559C" w:rsidP="00C0559C">
      <w:pPr>
        <w:pStyle w:val="NormalWeb"/>
      </w:pPr>
      <w:r>
        <w:t xml:space="preserve">4.      Submit up to $25.00 in the Net/Admin Allowance field to cover processing the part with the Associated Accessories Manufacturer or the Accessory Dealer Installer (ADI).    </w:t>
      </w:r>
    </w:p>
    <w:p w:rsidR="00C0559C" w:rsidRDefault="00C0559C" w:rsidP="00C0559C">
      <w:pPr>
        <w:pStyle w:val="NormalWeb"/>
      </w:pPr>
      <w:r>
        <w:t>5.      Enter to Associated Accessory part number in the "Reference Number" field of the GWM transaction.</w:t>
      </w:r>
    </w:p>
    <w:p w:rsidR="00C0559C" w:rsidRDefault="00C0559C" w:rsidP="00C0559C">
      <w:pPr>
        <w:pStyle w:val="NormalWeb"/>
      </w:pPr>
      <w:r>
        <w:t xml:space="preserve">6.      Parts are prohibited and must not be claimed on the transaction.  </w:t>
      </w:r>
    </w:p>
    <w:p w:rsidR="00C0559C" w:rsidRDefault="00C0559C" w:rsidP="00C0559C">
      <w:pPr>
        <w:spacing w:after="240"/>
      </w:pPr>
      <w:r>
        <w:br/>
      </w:r>
      <w:r>
        <w:br/>
        <w:t xml:space="preserve">Document : </w:t>
      </w:r>
      <w:hyperlink r:id="rId5" w:history="1">
        <w:r>
          <w:rPr>
            <w:rStyle w:val="Hyperlink"/>
          </w:rPr>
          <w:t>https://dealer.autopartners.net/portal/uscontent/headlines/Pages/GCUS-9-4519.aspx</w:t>
        </w:r>
      </w:hyperlink>
      <w:r>
        <w:t xml:space="preserve"> </w:t>
      </w:r>
      <w:r>
        <w:br/>
      </w:r>
      <w:r>
        <w:br/>
        <w:t>This message link is only valid through the expiry date.</w:t>
      </w:r>
      <w:r>
        <w:br/>
      </w:r>
      <w:proofErr w:type="spellStart"/>
      <w:r>
        <w:t>Expires:Nov</w:t>
      </w:r>
      <w:proofErr w:type="spellEnd"/>
      <w:r>
        <w:t xml:space="preserve"> 30, 2017 00:00 ET </w:t>
      </w:r>
      <w:r>
        <w:br/>
      </w:r>
    </w:p>
    <w:p w:rsidR="001D7878" w:rsidRDefault="001D7878">
      <w:bookmarkStart w:id="0" w:name="_GoBack"/>
      <w:bookmarkEnd w:id="0"/>
    </w:p>
    <w:sectPr w:rsidR="001D7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54794"/>
    <w:multiLevelType w:val="multilevel"/>
    <w:tmpl w:val="8A742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9C"/>
    <w:rsid w:val="000106DC"/>
    <w:rsid w:val="00025B2C"/>
    <w:rsid w:val="00030616"/>
    <w:rsid w:val="00042099"/>
    <w:rsid w:val="000B5C06"/>
    <w:rsid w:val="000D1884"/>
    <w:rsid w:val="00125CAD"/>
    <w:rsid w:val="00142393"/>
    <w:rsid w:val="0014332D"/>
    <w:rsid w:val="00154AD4"/>
    <w:rsid w:val="001D7878"/>
    <w:rsid w:val="00221367"/>
    <w:rsid w:val="00227411"/>
    <w:rsid w:val="00286F55"/>
    <w:rsid w:val="002C7214"/>
    <w:rsid w:val="003C0BD6"/>
    <w:rsid w:val="003E44E4"/>
    <w:rsid w:val="005355FC"/>
    <w:rsid w:val="005816E5"/>
    <w:rsid w:val="005F12B5"/>
    <w:rsid w:val="00674451"/>
    <w:rsid w:val="00693FE3"/>
    <w:rsid w:val="006B6BE6"/>
    <w:rsid w:val="006E1F1E"/>
    <w:rsid w:val="00783A35"/>
    <w:rsid w:val="00846652"/>
    <w:rsid w:val="00853CA5"/>
    <w:rsid w:val="00A2010C"/>
    <w:rsid w:val="00A342BC"/>
    <w:rsid w:val="00B400AF"/>
    <w:rsid w:val="00BE4F50"/>
    <w:rsid w:val="00C0559C"/>
    <w:rsid w:val="00CE1312"/>
    <w:rsid w:val="00E56361"/>
    <w:rsid w:val="00EB019B"/>
    <w:rsid w:val="00F72F03"/>
    <w:rsid w:val="00FB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A88A1-A2B5-4B4F-946F-D707D77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559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59C"/>
    <w:rPr>
      <w:color w:val="0000FF"/>
      <w:u w:val="single"/>
    </w:rPr>
  </w:style>
  <w:style w:type="paragraph" w:styleId="NormalWeb">
    <w:name w:val="Normal (Web)"/>
    <w:basedOn w:val="Normal"/>
    <w:uiPriority w:val="99"/>
    <w:unhideWhenUsed/>
    <w:rsid w:val="00C0559C"/>
    <w:pPr>
      <w:spacing w:before="100" w:beforeAutospacing="1" w:after="100" w:afterAutospacing="1"/>
    </w:pPr>
  </w:style>
  <w:style w:type="character" w:styleId="Strong">
    <w:name w:val="Strong"/>
    <w:basedOn w:val="DefaultParagraphFont"/>
    <w:uiPriority w:val="22"/>
    <w:qFormat/>
    <w:rsid w:val="00C05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aler.autopartners.net/portal/uscontent/headlines/Pages/GCUS-9-451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Fuderer</dc:creator>
  <cp:keywords/>
  <dc:description/>
  <cp:lastModifiedBy>Carl Fuderer</cp:lastModifiedBy>
  <cp:revision>1</cp:revision>
  <dcterms:created xsi:type="dcterms:W3CDTF">2017-08-17T12:39:00Z</dcterms:created>
  <dcterms:modified xsi:type="dcterms:W3CDTF">2017-08-17T12:43:00Z</dcterms:modified>
</cp:coreProperties>
</file>